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rPr>
          <w:rFonts w:ascii="Times New Roman" w:hAnsi="Times New Roman" w:cs="Times New Roman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Про полис: как иногородним студентам получить помощь по обязательному медицинскому страхованию?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Студенты, переезжающие в другой регион на обучение, имеют аналогичные права на получение медицинской помощи по полису ОМС тем, которыми они пользовались дома. Но для этого необходимо совершить ряд действий, о которых мы рассказали ниже.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студент поступил в учебное заведение и переехал в другой город, необходимо уточнить в страховой компании, которая выдала ему полис ОМС, работает ли она в регионе проживания. Если работает, необходимо обновить контактные данные и адрес регистрации (пре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бывания). Это даст возможность страховому представителю связаться с застрахованным лицом при необходимости.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страховая медицинская организация не работает в субъекте, куда осуществлён переезд на обучение, следует выбрать страховую компанию из представленных в регионе Их перечень можно узнать на официальном сайте Территориального фонда обязательного медицинск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страхования Ставропольского края или по телефону контакт-центра 8-800-707-11-35. Здесь же можно уточнить информацию о видах, качестве и условиях оказания медицинской помощи по полису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«Страховые представители страховых медицинских организаций всегда готовы помочь всем застрахованным лицам. На оборотной стороне полиса ОМС указан телефон страховой медицинской организации, по которому следует обращаться, чтобы получить консультации по вопр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осам сферы ОМС»,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напомнила директор Территориального фонда ОМС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 вам необходимо выбрать медицинскую организацию, работающую в системе ОМС, направив письменное заявление. Список поликлиник также размещён на сайте ТФОМС СК. После прикрепления вы сможете бесплатно получать медицинскую помощь в рамках программ ОМС,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7844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посещение врачей поликлиники;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8826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консультации узких специалистов и обследования, предусмотренные программами ОМС;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60684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скорая медицинская помощь;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1649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лечение и обследование в стационарных условиях;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9785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прохождение (с 18 лет) один раз в год профилактического медицинского осмотра, а один раз в три года – диспансеризации.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Страховая медицинская организация ведёт сопровождение застрахованных на всех этапах оказания медицинской помощи и обеспечивает информирование о правах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2025-09-18T07:19:01Z</dcterms:modified>
</cp:coreProperties>
</file>